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0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090"/>
        <w:gridCol w:w="1622"/>
        <w:gridCol w:w="5098"/>
        <w:gridCol w:w="100"/>
        <w:gridCol w:w="8"/>
      </w:tblGrid>
      <w:tr w:rsidR="006D38E2" w14:paraId="6D8E2970" w14:textId="77777777" w:rsidTr="004149ED">
        <w:trPr>
          <w:gridBefore w:val="1"/>
          <w:wBefore w:w="108" w:type="dxa"/>
          <w:trHeight w:val="340"/>
        </w:trPr>
        <w:tc>
          <w:tcPr>
            <w:tcW w:w="9918" w:type="dxa"/>
            <w:gridSpan w:val="5"/>
            <w:shd w:val="clear" w:color="auto" w:fill="651D32"/>
            <w:vAlign w:val="center"/>
          </w:tcPr>
          <w:p w14:paraId="2EB84079" w14:textId="77777777" w:rsidR="006D38E2" w:rsidRPr="006D38E2" w:rsidRDefault="006D38E2" w:rsidP="006F4B1F">
            <w:pPr>
              <w:pStyle w:val="Prrafodelista"/>
              <w:numPr>
                <w:ilvl w:val="0"/>
                <w:numId w:val="4"/>
              </w:numPr>
              <w:spacing w:after="0" w:line="276" w:lineRule="auto"/>
              <w:rPr>
                <w:b/>
                <w:bCs/>
              </w:rPr>
            </w:pPr>
            <w:r w:rsidRPr="006D38E2">
              <w:rPr>
                <w:b/>
                <w:bCs/>
                <w:color w:val="FFFFFF" w:themeColor="background1"/>
              </w:rPr>
              <w:t>Descripción de la Evaluación</w:t>
            </w:r>
          </w:p>
        </w:tc>
      </w:tr>
      <w:tr w:rsidR="00A70556" w14:paraId="49C9E4C8" w14:textId="77777777" w:rsidTr="004149ED">
        <w:trPr>
          <w:gridBefore w:val="1"/>
          <w:wBefore w:w="108" w:type="dxa"/>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4"/>
            <w:shd w:val="clear" w:color="auto" w:fill="auto"/>
            <w:vAlign w:val="center"/>
          </w:tcPr>
          <w:p w14:paraId="6C77C4E8" w14:textId="77777777" w:rsidR="00A70556" w:rsidRDefault="00A70556" w:rsidP="00A70556">
            <w:pPr>
              <w:spacing w:after="0" w:line="276" w:lineRule="auto"/>
            </w:pPr>
            <w:r w:rsidRPr="009C2562">
              <w:t xml:space="preserve">Evaluación </w:t>
            </w:r>
            <w:r w:rsidR="000851A2">
              <w:t xml:space="preserve">Específica </w:t>
            </w:r>
            <w:r w:rsidRPr="009C2562">
              <w:t xml:space="preserve">del </w:t>
            </w:r>
            <w:r w:rsidR="000851A2">
              <w:t>D</w:t>
            </w:r>
            <w:r w:rsidRPr="009C2562">
              <w:t>esempeño</w:t>
            </w:r>
            <w:r w:rsidR="000851A2">
              <w:t xml:space="preserve"> (EED)</w:t>
            </w:r>
          </w:p>
        </w:tc>
      </w:tr>
      <w:tr w:rsidR="004149ED" w:rsidRPr="00A70556" w14:paraId="4D06B551" w14:textId="77777777" w:rsidTr="004149ED">
        <w:trPr>
          <w:gridAfter w:val="2"/>
          <w:wAfter w:w="108" w:type="dxa"/>
          <w:trHeight w:val="340"/>
        </w:trPr>
        <w:tc>
          <w:tcPr>
            <w:tcW w:w="4820" w:type="dxa"/>
            <w:gridSpan w:val="3"/>
            <w:shd w:val="clear" w:color="auto" w:fill="F2F2F2" w:themeFill="background1" w:themeFillShade="F2"/>
            <w:vAlign w:val="center"/>
          </w:tcPr>
          <w:p w14:paraId="37BE346E" w14:textId="77777777" w:rsidR="004149ED" w:rsidRPr="00A70556" w:rsidRDefault="004149ED" w:rsidP="00857D74">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098" w:type="dxa"/>
            <w:shd w:val="clear" w:color="auto" w:fill="F2F2F2" w:themeFill="background1" w:themeFillShade="F2"/>
            <w:vAlign w:val="center"/>
          </w:tcPr>
          <w:p w14:paraId="16EE3F7F" w14:textId="77777777" w:rsidR="004149ED" w:rsidRPr="00A70556" w:rsidRDefault="004149ED" w:rsidP="00857D74">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4149ED" w14:paraId="01F2EA1C" w14:textId="77777777" w:rsidTr="004149ED">
        <w:trPr>
          <w:gridAfter w:val="2"/>
          <w:wAfter w:w="108" w:type="dxa"/>
          <w:trHeight w:val="340"/>
        </w:trPr>
        <w:tc>
          <w:tcPr>
            <w:tcW w:w="4820" w:type="dxa"/>
            <w:gridSpan w:val="3"/>
            <w:shd w:val="clear" w:color="auto" w:fill="auto"/>
            <w:vAlign w:val="center"/>
          </w:tcPr>
          <w:p w14:paraId="1566B786" w14:textId="3102F657" w:rsidR="004149ED" w:rsidRPr="00A70556" w:rsidRDefault="004149ED" w:rsidP="00857D74">
            <w:pPr>
              <w:spacing w:after="0" w:line="276" w:lineRule="auto"/>
              <w:jc w:val="center"/>
              <w:rPr>
                <w:b/>
                <w:bCs/>
              </w:rPr>
            </w:pPr>
            <w:r w:rsidRPr="005D1F4D">
              <w:t>31/</w:t>
            </w:r>
            <w:r>
              <w:t>03</w:t>
            </w:r>
            <w:r w:rsidRPr="005D1F4D">
              <w:t>/202</w:t>
            </w:r>
            <w:r>
              <w:t>2</w:t>
            </w:r>
          </w:p>
        </w:tc>
        <w:tc>
          <w:tcPr>
            <w:tcW w:w="5098" w:type="dxa"/>
            <w:shd w:val="clear" w:color="auto" w:fill="auto"/>
            <w:vAlign w:val="center"/>
          </w:tcPr>
          <w:p w14:paraId="209B5404" w14:textId="1302E1B9" w:rsidR="004149ED" w:rsidRPr="00A70556" w:rsidRDefault="004149ED" w:rsidP="00857D74">
            <w:pPr>
              <w:spacing w:after="0" w:line="276" w:lineRule="auto"/>
              <w:jc w:val="center"/>
              <w:rPr>
                <w:b/>
                <w:bCs/>
              </w:rPr>
            </w:pPr>
            <w:r>
              <w:t>19</w:t>
            </w:r>
            <w:r w:rsidRPr="005D1F4D">
              <w:t>/</w:t>
            </w:r>
            <w:r>
              <w:t>04</w:t>
            </w:r>
            <w:r w:rsidRPr="005D1F4D">
              <w:t>/</w:t>
            </w:r>
            <w:r>
              <w:t>2022</w:t>
            </w:r>
          </w:p>
        </w:tc>
      </w:tr>
      <w:tr w:rsidR="00A70556" w14:paraId="6B7EC127" w14:textId="77777777" w:rsidTr="004149ED">
        <w:trPr>
          <w:gridBefore w:val="1"/>
          <w:wBefore w:w="108" w:type="dxa"/>
          <w:trHeight w:val="340"/>
        </w:trPr>
        <w:tc>
          <w:tcPr>
            <w:tcW w:w="9918" w:type="dxa"/>
            <w:gridSpan w:val="5"/>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A70556" w14:paraId="37454C6A" w14:textId="77777777" w:rsidTr="004149ED">
        <w:trPr>
          <w:gridBefore w:val="1"/>
          <w:wBefore w:w="108" w:type="dxa"/>
          <w:trHeight w:val="340"/>
        </w:trPr>
        <w:tc>
          <w:tcPr>
            <w:tcW w:w="9918" w:type="dxa"/>
            <w:gridSpan w:val="5"/>
            <w:shd w:val="clear" w:color="auto" w:fill="auto"/>
            <w:vAlign w:val="center"/>
          </w:tcPr>
          <w:p w14:paraId="78C4F704" w14:textId="312F9BF3" w:rsidR="00A70556" w:rsidRPr="00581B4A" w:rsidRDefault="00A165BB" w:rsidP="00521401">
            <w:pPr>
              <w:pStyle w:val="Prrafodelista"/>
              <w:spacing w:after="0" w:line="276" w:lineRule="auto"/>
              <w:ind w:left="37"/>
              <w:jc w:val="both"/>
              <w:rPr>
                <w:b/>
                <w:bCs/>
              </w:rPr>
            </w:pPr>
            <w:r w:rsidRPr="0008479E">
              <w:t>Dr. Gerardo Kenny Inzunza Leyva</w:t>
            </w:r>
            <w:r w:rsidR="00A70556" w:rsidRPr="0008479E">
              <w:t xml:space="preserve">, </w:t>
            </w:r>
            <w:r w:rsidRPr="0008479E">
              <w:t>Dirección de Prevención y Promoción a la Salud de los Servicios de Salud de Sinaloa</w:t>
            </w:r>
          </w:p>
        </w:tc>
      </w:tr>
      <w:tr w:rsidR="00A70556" w14:paraId="79DD6CAD" w14:textId="77777777" w:rsidTr="004149ED">
        <w:trPr>
          <w:gridBefore w:val="1"/>
          <w:gridAfter w:val="1"/>
          <w:wBefore w:w="108" w:type="dxa"/>
          <w:wAfter w:w="8" w:type="dxa"/>
          <w:trHeight w:val="340"/>
        </w:trPr>
        <w:tc>
          <w:tcPr>
            <w:tcW w:w="9910" w:type="dxa"/>
            <w:gridSpan w:val="4"/>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2F83D2CA" w:rsidR="00B920F2" w:rsidRDefault="00A165BB" w:rsidP="00521401">
      <w:pPr>
        <w:pStyle w:val="Prrafodelista"/>
        <w:spacing w:after="0" w:line="276" w:lineRule="auto"/>
        <w:ind w:left="142"/>
        <w:jc w:val="both"/>
      </w:pPr>
      <w:r w:rsidRPr="00A63712">
        <w:rPr>
          <w:rFonts w:eastAsia="Times New Roman"/>
          <w:bCs/>
          <w:color w:val="000000"/>
          <w:lang w:eastAsia="es-MX"/>
        </w:rPr>
        <w:t xml:space="preserve">Evaluar el desempeño del </w:t>
      </w:r>
      <w:r w:rsidRPr="00B84C61">
        <w:rPr>
          <w:rFonts w:eastAsia="Times New Roman"/>
          <w:b/>
          <w:color w:val="000000"/>
          <w:lang w:eastAsia="es-MX"/>
        </w:rPr>
        <w:t xml:space="preserve">Prevención </w:t>
      </w:r>
      <w:r>
        <w:rPr>
          <w:rFonts w:eastAsia="Times New Roman"/>
          <w:b/>
          <w:color w:val="000000"/>
          <w:lang w:eastAsia="es-MX"/>
        </w:rPr>
        <w:t>y</w:t>
      </w:r>
      <w:r w:rsidRPr="00B84C61">
        <w:rPr>
          <w:rFonts w:eastAsia="Times New Roman"/>
          <w:b/>
          <w:color w:val="000000"/>
          <w:lang w:eastAsia="es-MX"/>
        </w:rPr>
        <w:t xml:space="preserve"> Control del VIH/SIDA </w:t>
      </w:r>
      <w:r>
        <w:rPr>
          <w:rFonts w:eastAsia="Times New Roman"/>
          <w:b/>
          <w:color w:val="000000"/>
          <w:lang w:eastAsia="es-MX"/>
        </w:rPr>
        <w:t>e</w:t>
      </w:r>
      <w:r w:rsidRPr="00B84C61">
        <w:rPr>
          <w:rFonts w:eastAsia="Times New Roman"/>
          <w:b/>
          <w:color w:val="000000"/>
          <w:lang w:eastAsia="es-MX"/>
        </w:rPr>
        <w:t xml:space="preserve"> ITS</w:t>
      </w:r>
      <w:r w:rsidRPr="00A63712">
        <w:rPr>
          <w:rFonts w:eastAsia="Times New Roman"/>
          <w:bCs/>
          <w:color w:val="000000"/>
          <w:lang w:eastAsia="es-MX"/>
        </w:rPr>
        <w:t xml:space="preserve"> del ejercicio fiscal 202</w:t>
      </w:r>
      <w:r>
        <w:rPr>
          <w:rFonts w:eastAsia="Times New Roman"/>
          <w:bCs/>
          <w:color w:val="000000"/>
          <w:lang w:eastAsia="es-MX"/>
        </w:rPr>
        <w:t>1</w:t>
      </w:r>
      <w:r w:rsidRPr="00A63712">
        <w:rPr>
          <w:rFonts w:eastAsia="Times New Roman"/>
          <w:bCs/>
          <w:color w:val="000000"/>
          <w:lang w:eastAsia="es-MX"/>
        </w:rPr>
        <w:t>, con base en la información entregada por el área responsable del programa, con una valoración de los resultados e impactos derivados del cumplimiento de las metas establecidas en el programa.</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156AE89D" w14:textId="77777777" w:rsidR="009B7088" w:rsidRDefault="009B7088" w:rsidP="006F4B1F">
      <w:pPr>
        <w:pStyle w:val="Prrafodelista"/>
        <w:numPr>
          <w:ilvl w:val="0"/>
          <w:numId w:val="2"/>
        </w:numPr>
        <w:spacing w:after="0" w:line="276" w:lineRule="auto"/>
        <w:ind w:left="426" w:hanging="219"/>
        <w:jc w:val="both"/>
      </w:pPr>
      <w:r>
        <w:t>Estimar el impacto generado y emitir juicios de valor, derivado de la satisfacción de las personas que utilizan los servicios del programa, lo que contribuye al desarrollo de la entidad y sus índices de competitividad.</w:t>
      </w:r>
    </w:p>
    <w:p w14:paraId="416A79BF" w14:textId="77777777" w:rsidR="009B7088" w:rsidRDefault="009B7088" w:rsidP="006F4B1F">
      <w:pPr>
        <w:pStyle w:val="Prrafodelista"/>
        <w:numPr>
          <w:ilvl w:val="0"/>
          <w:numId w:val="2"/>
        </w:numPr>
        <w:spacing w:after="0" w:line="276" w:lineRule="auto"/>
        <w:ind w:left="426" w:hanging="219"/>
        <w:jc w:val="both"/>
      </w:pPr>
      <w:r>
        <w:t xml:space="preserve">Realizar una valoración general de los resultados y productos del programa, así como el desempeño institucional en la operación del programa. </w:t>
      </w:r>
    </w:p>
    <w:p w14:paraId="2CCD5C65" w14:textId="77777777" w:rsidR="009B7088" w:rsidRDefault="009B7088" w:rsidP="006F4B1F">
      <w:pPr>
        <w:pStyle w:val="Prrafodelista"/>
        <w:numPr>
          <w:ilvl w:val="0"/>
          <w:numId w:val="2"/>
        </w:numPr>
        <w:spacing w:after="0" w:line="276" w:lineRule="auto"/>
        <w:ind w:left="426" w:hanging="219"/>
        <w:jc w:val="both"/>
      </w:pPr>
      <w:r>
        <w:t>Identificar los principales aspectos susceptibles de mejora del programa derivados de la evaluación, así como de los hallazgos relevantes.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77777777" w:rsidR="00B920F2" w:rsidRDefault="00581B4A" w:rsidP="00521401">
      <w:pPr>
        <w:pStyle w:val="Prrafodelista"/>
        <w:spacing w:after="0" w:line="276" w:lineRule="auto"/>
        <w:ind w:left="142"/>
        <w:jc w:val="both"/>
      </w:pPr>
      <w:r w:rsidRPr="00EB4CD4">
        <w:t>Trabajo de escritorio, mediante el cumplimiento de los Términos de Referencia para la Evaluación Específica del 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9"/>
        <w:gridCol w:w="2126"/>
        <w:gridCol w:w="1843"/>
        <w:gridCol w:w="3260"/>
      </w:tblGrid>
      <w:tr w:rsidR="00581B4A" w:rsidRPr="009F31DF" w14:paraId="0AD764F8" w14:textId="77777777" w:rsidTr="00BB56BC">
        <w:trPr>
          <w:trHeight w:val="340"/>
        </w:trPr>
        <w:tc>
          <w:tcPr>
            <w:tcW w:w="9923" w:type="dxa"/>
            <w:gridSpan w:val="5"/>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BB56BC">
        <w:trPr>
          <w:trHeight w:val="340"/>
        </w:trPr>
        <w:tc>
          <w:tcPr>
            <w:tcW w:w="2694" w:type="dxa"/>
            <w:gridSpan w:val="2"/>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BB56BC">
        <w:trPr>
          <w:trHeight w:val="576"/>
        </w:trPr>
        <w:tc>
          <w:tcPr>
            <w:tcW w:w="1985" w:type="dxa"/>
            <w:vAlign w:val="center"/>
          </w:tcPr>
          <w:p w14:paraId="4BCD5639" w14:textId="77777777" w:rsidR="00581B4A" w:rsidRPr="00581B4A" w:rsidRDefault="00581B4A" w:rsidP="00521401">
            <w:pPr>
              <w:spacing w:after="0" w:line="276" w:lineRule="auto"/>
              <w:ind w:left="-533"/>
              <w:jc w:val="center"/>
              <w:rPr>
                <w:b/>
                <w:bCs/>
              </w:rPr>
            </w:pPr>
          </w:p>
        </w:tc>
        <w:tc>
          <w:tcPr>
            <w:tcW w:w="2835" w:type="dxa"/>
            <w:gridSpan w:val="2"/>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77777777" w:rsidR="00581B4A" w:rsidRPr="00581B4A" w:rsidRDefault="00581B4A" w:rsidP="00090637">
            <w:pPr>
              <w:spacing w:after="0" w:line="276" w:lineRule="auto"/>
              <w:jc w:val="center"/>
              <w:rPr>
                <w:b/>
                <w:bCs/>
              </w:rPr>
            </w:pPr>
            <w:r w:rsidRPr="00581B4A">
              <w:t>Especifica de Desempeño</w:t>
            </w:r>
          </w:p>
        </w:tc>
      </w:tr>
      <w:tr w:rsidR="005D1F4D" w14:paraId="28F03B61" w14:textId="77777777" w:rsidTr="00BB5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23" w:type="dxa"/>
            <w:gridSpan w:val="5"/>
            <w:tcBorders>
              <w:top w:val="nil"/>
              <w:left w:val="nil"/>
              <w:bottom w:val="nil"/>
              <w:right w:val="nil"/>
            </w:tcBorders>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7777777" w:rsidR="006D38E2" w:rsidRDefault="006D38E2" w:rsidP="006F4B1F">
      <w:pPr>
        <w:pStyle w:val="Prrafodelista"/>
        <w:numPr>
          <w:ilvl w:val="0"/>
          <w:numId w:val="3"/>
        </w:numPr>
        <w:spacing w:after="0" w:line="276" w:lineRule="auto"/>
        <w:ind w:left="567" w:hanging="219"/>
        <w:jc w:val="both"/>
        <w:sectPr w:rsidR="006D38E2" w:rsidSect="006047A9">
          <w:headerReference w:type="default" r:id="rId8"/>
          <w:footerReference w:type="default" r:id="rId9"/>
          <w:headerReference w:type="first" r:id="rId10"/>
          <w:footerReference w:type="first" r:id="rId11"/>
          <w:pgSz w:w="12240" w:h="15840"/>
          <w:pgMar w:top="1418" w:right="902" w:bottom="1134" w:left="1418" w:header="567" w:footer="264" w:gutter="0"/>
          <w:cols w:space="708"/>
          <w:titlePg/>
          <w:docGrid w:linePitch="360"/>
        </w:sectPr>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p>
    <w:tbl>
      <w:tblPr>
        <w:tblStyle w:val="Tablaconcuadrcula"/>
        <w:tblW w:w="0" w:type="auto"/>
        <w:tblLook w:val="04A0" w:firstRow="1" w:lastRow="0" w:firstColumn="1" w:lastColumn="0" w:noHBand="0" w:noVBand="1"/>
      </w:tblPr>
      <w:tblGrid>
        <w:gridCol w:w="9910"/>
      </w:tblGrid>
      <w:tr w:rsidR="00823754" w14:paraId="62347B8F" w14:textId="77777777" w:rsidTr="00A165BB">
        <w:trPr>
          <w:trHeight w:val="340"/>
          <w:tblHeader/>
        </w:trPr>
        <w:tc>
          <w:tcPr>
            <w:tcW w:w="9910" w:type="dxa"/>
            <w:tcBorders>
              <w:top w:val="nil"/>
              <w:left w:val="nil"/>
              <w:bottom w:val="nil"/>
              <w:right w:val="nil"/>
            </w:tcBorders>
            <w:shd w:val="clear" w:color="auto" w:fill="651D32"/>
            <w:vAlign w:val="center"/>
          </w:tcPr>
          <w:p w14:paraId="01EFA909" w14:textId="77777777" w:rsidR="00823754" w:rsidRDefault="00823754" w:rsidP="006F4B1F">
            <w:pPr>
              <w:pStyle w:val="Prrafodelista"/>
              <w:numPr>
                <w:ilvl w:val="0"/>
                <w:numId w:val="4"/>
              </w:numPr>
              <w:spacing w:after="0" w:line="276" w:lineRule="auto"/>
              <w:jc w:val="both"/>
            </w:pPr>
            <w:r w:rsidRPr="00823754">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6F4B1F">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2CBEEAC8" w14:textId="7DEBCE68" w:rsidR="00A165BB" w:rsidRDefault="00A165BB" w:rsidP="00A165BB">
      <w:pPr>
        <w:spacing w:after="0" w:line="276" w:lineRule="auto"/>
        <w:ind w:left="284"/>
        <w:jc w:val="both"/>
      </w:pPr>
      <w:r>
        <w:t>• Porcentaje de pruebas de medición de linfocitos CD4 realizadas, en 2021 se logró la meta de 85% (1,920 pruebas realizadas de medición de linfocitos CD4), de una meta programada de 2,400 pruebas a realizar.</w:t>
      </w:r>
    </w:p>
    <w:p w14:paraId="7AE472F5" w14:textId="56B75948" w:rsidR="00A165BB" w:rsidRDefault="00A165BB" w:rsidP="00A165BB">
      <w:pPr>
        <w:spacing w:after="0" w:line="276" w:lineRule="auto"/>
        <w:ind w:left="284"/>
        <w:jc w:val="both"/>
      </w:pPr>
      <w:r>
        <w:t>• Porcentaje de pruebas de carga viral realizadas, se alcanzó la meta de 85% (1,920 pruebas realizadas de medición de carga viral), de una meta programada de 2,400.</w:t>
      </w:r>
    </w:p>
    <w:p w14:paraId="11A1D6E6" w14:textId="4E07076C" w:rsidR="00A165BB" w:rsidRDefault="00A165BB" w:rsidP="00A165BB">
      <w:pPr>
        <w:spacing w:after="0" w:line="276" w:lineRule="auto"/>
        <w:ind w:left="284"/>
        <w:jc w:val="both"/>
      </w:pPr>
      <w:r>
        <w:t>• Porcentaje de seguimiento de ITS, se logró llegar al 91% de la meta programada que era de 7,578 consultas.</w:t>
      </w:r>
    </w:p>
    <w:p w14:paraId="770C5BCF" w14:textId="3397DEA6" w:rsidR="00A165BB" w:rsidRDefault="00A165BB" w:rsidP="00A165BB">
      <w:pPr>
        <w:spacing w:after="0" w:line="276" w:lineRule="auto"/>
        <w:ind w:left="284"/>
        <w:jc w:val="both"/>
      </w:pPr>
      <w:r>
        <w:t>• Dentro de los avances más relevantes del programa se encuentra el mantenimiento en el 100% del avance en dos indicadores de gran impacto como lo son la detección oportuna del VIH que es medida a través de la medición de los linfocitos CD4, en el cual nuestro estado detecta de manera temprana a la mayor proporción de las personas que ingresan a tratamiento, el otro indicador es el de carga viral indetectable en el cual el avance es del 100%, con un 93.9% de las personas que se encuentran en tratamiento en adecuado control virológico, lo cual nos lleva a romper cadena de transmisión del VIH de las personas con VIH en tratamiento.</w:t>
      </w:r>
    </w:p>
    <w:p w14:paraId="0080DC2C" w14:textId="24423D2C" w:rsidR="00A165BB" w:rsidRDefault="00A165BB" w:rsidP="00A165BB">
      <w:pPr>
        <w:spacing w:after="0" w:line="276" w:lineRule="auto"/>
        <w:ind w:left="284"/>
        <w:jc w:val="both"/>
      </w:pPr>
      <w:r>
        <w:t>• Se logró incrementar el porcentaje de pruebas de medición de linfocitos CD4 realizadas y el porcentaje de pruebas de carga viral realizadas logrando un 85% de avance.</w:t>
      </w:r>
    </w:p>
    <w:p w14:paraId="09083668" w14:textId="7009156D" w:rsidR="00AF2993" w:rsidRPr="006505C2" w:rsidRDefault="00A165BB" w:rsidP="00A165BB">
      <w:pPr>
        <w:spacing w:after="0" w:line="276" w:lineRule="auto"/>
        <w:ind w:left="284"/>
        <w:jc w:val="both"/>
      </w:pPr>
      <w:r>
        <w:t>• Un cambio futuro del programa, para lo cual nos preparamos es el de otorgamiento de PrEP, lo cual nos permitirá prevenir nuevas infecciones de VIH en poblaciones de muy alto riego, además de mejorar los conocimientos, aptitudes, actitudes de esta población para hacer más segura su vida sexual y del autocuidado de la salud.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97F2C4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 xml:space="preserve">Fortalezas: </w:t>
      </w:r>
    </w:p>
    <w:p w14:paraId="51DC8317" w14:textId="77777777" w:rsidR="00A165BB" w:rsidRDefault="00A165BB" w:rsidP="00A165BB">
      <w:pPr>
        <w:pStyle w:val="Prrafodelista"/>
        <w:numPr>
          <w:ilvl w:val="0"/>
          <w:numId w:val="7"/>
        </w:numPr>
        <w:spacing w:after="0" w:line="276" w:lineRule="auto"/>
        <w:jc w:val="both"/>
      </w:pPr>
      <w:r>
        <w:t>Mantener el abasto de pruebas de tamizaje de VIH, sífilis y hepatitis C.</w:t>
      </w:r>
    </w:p>
    <w:p w14:paraId="2E8E7F65" w14:textId="77777777" w:rsidR="00A165BB" w:rsidRDefault="00A165BB" w:rsidP="00A165BB">
      <w:pPr>
        <w:pStyle w:val="Prrafodelista"/>
        <w:numPr>
          <w:ilvl w:val="0"/>
          <w:numId w:val="7"/>
        </w:numPr>
        <w:spacing w:after="0" w:line="276" w:lineRule="auto"/>
        <w:jc w:val="both"/>
      </w:pPr>
      <w:r>
        <w:t>Capacitar a la totalidad del personal multidisciplinario que labora para el programa VIH/SIDA e ITS en las unidades CAPASITS y SAIH.</w:t>
      </w:r>
    </w:p>
    <w:p w14:paraId="19E3496C" w14:textId="77777777" w:rsidR="00A165BB" w:rsidRDefault="00A165BB" w:rsidP="00A165BB">
      <w:pPr>
        <w:pStyle w:val="Prrafodelista"/>
        <w:numPr>
          <w:ilvl w:val="0"/>
          <w:numId w:val="7"/>
        </w:numPr>
        <w:spacing w:after="0" w:line="276" w:lineRule="auto"/>
        <w:jc w:val="both"/>
      </w:pPr>
      <w:r>
        <w:t>Contar con el material preventivo “condón” para la población activa sexualmente.</w:t>
      </w:r>
    </w:p>
    <w:p w14:paraId="5931B8C2" w14:textId="77777777" w:rsidR="00A165BB" w:rsidRDefault="00A165BB" w:rsidP="00A165BB">
      <w:pPr>
        <w:pStyle w:val="Prrafodelista"/>
        <w:numPr>
          <w:ilvl w:val="0"/>
          <w:numId w:val="7"/>
        </w:numPr>
        <w:spacing w:after="0" w:line="276" w:lineRule="auto"/>
        <w:jc w:val="both"/>
      </w:pPr>
      <w:r>
        <w:t>Considerar que no existe desabasto en los tratamientos propios para tratar el VIH (los antirretrovirales).</w:t>
      </w:r>
    </w:p>
    <w:p w14:paraId="37AD440E" w14:textId="77777777" w:rsidR="00A165BB" w:rsidRDefault="00A165BB" w:rsidP="00A165BB">
      <w:pPr>
        <w:pStyle w:val="Prrafodelista"/>
        <w:numPr>
          <w:ilvl w:val="0"/>
          <w:numId w:val="7"/>
        </w:numPr>
        <w:spacing w:after="0" w:line="276" w:lineRule="auto"/>
        <w:jc w:val="both"/>
      </w:pPr>
      <w:r>
        <w:t xml:space="preserve">Diagnosticar mediante contrato para la realización de pruebas de carga viral, medición de linfocitos CD4 y genotipos para todas las personas que viven con VIH. </w:t>
      </w:r>
    </w:p>
    <w:p w14:paraId="37B46158" w14:textId="77777777" w:rsidR="00A165BB" w:rsidRDefault="00A165BB" w:rsidP="00A165BB">
      <w:pPr>
        <w:pStyle w:val="Prrafodelista"/>
        <w:numPr>
          <w:ilvl w:val="0"/>
          <w:numId w:val="7"/>
        </w:numPr>
        <w:spacing w:after="0" w:line="276" w:lineRule="auto"/>
        <w:jc w:val="both"/>
      </w:pPr>
      <w:r>
        <w:t>Designar personal médico y paramédico entre los que se encuentran licenciados en psicología, licenciados en enfermería, personal de apoyo para la cadena de suministros, promotores, entre otros, lo anterior, por parte de CENSIDA a través de recursos federales.</w:t>
      </w:r>
    </w:p>
    <w:p w14:paraId="3A39C1FA"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 xml:space="preserve">Oportunidades: </w:t>
      </w:r>
    </w:p>
    <w:p w14:paraId="6441E969" w14:textId="77777777" w:rsidR="00A165BB" w:rsidRPr="00A165BB" w:rsidRDefault="00A165BB" w:rsidP="008F370D">
      <w:pPr>
        <w:pStyle w:val="Prrafodelista"/>
        <w:numPr>
          <w:ilvl w:val="0"/>
          <w:numId w:val="8"/>
        </w:numPr>
        <w:spacing w:after="0" w:line="276" w:lineRule="auto"/>
        <w:jc w:val="both"/>
      </w:pPr>
      <w:r w:rsidRPr="00763D01">
        <w:rPr>
          <w:rFonts w:eastAsia="Times New Roman"/>
          <w:color w:val="000000"/>
          <w:lang w:val="es-ES" w:eastAsia="es-MX"/>
        </w:rPr>
        <w:t>Intervenir con el medicamento PrEP al VIH.</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47C2EBBE" w14:textId="77777777" w:rsidR="00A165BB" w:rsidRPr="00A165BB" w:rsidRDefault="00A165BB" w:rsidP="006F4B1F">
      <w:pPr>
        <w:pStyle w:val="Prrafodelista"/>
        <w:numPr>
          <w:ilvl w:val="0"/>
          <w:numId w:val="8"/>
        </w:numPr>
        <w:spacing w:after="0" w:line="276" w:lineRule="auto"/>
        <w:ind w:left="993" w:hanging="284"/>
        <w:jc w:val="both"/>
      </w:pPr>
      <w:r w:rsidRPr="00763D01">
        <w:rPr>
          <w:rFonts w:eastAsia="Times New Roman"/>
          <w:color w:val="000000"/>
          <w:lang w:val="es-ES" w:eastAsia="es-MX"/>
        </w:rPr>
        <w:t>Falta de estructura y equipo de las unidades médicas, en las cuales ya se observa la necesidad de la ampliación de las UNEMES y CAPASITS, ya que los servicios que se brindan a la población han aumentado y los espacios físicos no han sufrido cambios.</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1329A6EC" w14:textId="77777777" w:rsidR="00A165BB" w:rsidRPr="00A165BB" w:rsidRDefault="00A165BB" w:rsidP="008F370D">
      <w:pPr>
        <w:pStyle w:val="Prrafodelista"/>
        <w:numPr>
          <w:ilvl w:val="0"/>
          <w:numId w:val="8"/>
        </w:numPr>
        <w:spacing w:after="0" w:line="276" w:lineRule="auto"/>
        <w:jc w:val="both"/>
      </w:pPr>
      <w:r w:rsidRPr="00763D01">
        <w:rPr>
          <w:rFonts w:eastAsia="Times New Roman"/>
          <w:color w:val="000000"/>
          <w:lang w:val="es-ES" w:eastAsia="es-MX"/>
        </w:rPr>
        <w:lastRenderedPageBreak/>
        <w:t>Cambios en el esquema de adquisición de medicamentos antirretrovirales, lo cual puede ocasionar en un futuro dificultades para el abasto oportuno de los diferentes medicamentos utilizados para la atención de las personas que viven con VIH.</w:t>
      </w:r>
    </w:p>
    <w:p w14:paraId="30BA35DA" w14:textId="39697654" w:rsidR="00AF2993" w:rsidRDefault="00AF2993" w:rsidP="00521401">
      <w:pPr>
        <w:spacing w:after="0" w:line="276" w:lineRule="auto"/>
        <w:ind w:hanging="284"/>
        <w:jc w:val="both"/>
      </w:pPr>
    </w:p>
    <w:p w14:paraId="1DED39C0" w14:textId="30CD4E4C" w:rsidR="00A165BB" w:rsidRDefault="00A165BB" w:rsidP="00521401">
      <w:pPr>
        <w:spacing w:after="0" w:line="276" w:lineRule="auto"/>
        <w:ind w:hanging="284"/>
        <w:jc w:val="both"/>
      </w:pPr>
    </w:p>
    <w:p w14:paraId="4F418164" w14:textId="77777777" w:rsidR="00A165BB" w:rsidRDefault="00A165BB" w:rsidP="00521401">
      <w:pPr>
        <w:spacing w:after="0" w:line="276" w:lineRule="auto"/>
        <w:ind w:hanging="284"/>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14:paraId="2071B523" w14:textId="77777777" w:rsidTr="00090637">
        <w:trPr>
          <w:trHeight w:val="340"/>
        </w:trPr>
        <w:tc>
          <w:tcPr>
            <w:tcW w:w="9910" w:type="dxa"/>
            <w:shd w:val="clear" w:color="auto" w:fill="651D32"/>
            <w:vAlign w:val="center"/>
          </w:tcPr>
          <w:p w14:paraId="0D736EE3" w14:textId="77777777" w:rsidR="00AF2993" w:rsidRDefault="00AF2993" w:rsidP="006F4B1F">
            <w:pPr>
              <w:pStyle w:val="Prrafodelista"/>
              <w:numPr>
                <w:ilvl w:val="0"/>
                <w:numId w:val="4"/>
              </w:numPr>
              <w:spacing w:after="0" w:line="276" w:lineRule="auto"/>
            </w:pPr>
            <w:r w:rsidRPr="00AF2993">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08ADC47F" w14:textId="77777777" w:rsidR="00A165BB" w:rsidRPr="00A165BB" w:rsidRDefault="00A165BB" w:rsidP="00A165BB">
      <w:pPr>
        <w:spacing w:after="0" w:line="276" w:lineRule="auto"/>
        <w:ind w:left="284"/>
        <w:jc w:val="both"/>
        <w:rPr>
          <w:lang w:val="es-ES"/>
        </w:rPr>
      </w:pPr>
      <w:r w:rsidRPr="00A165BB">
        <w:rPr>
          <w:lang w:val="es-ES"/>
        </w:rPr>
        <w:t>El programa presenta un desempeño favorable al cumplir con las metas propuestas. En el ejercicio 2021, se logró aumentar el número de personas que ingresan al tratamiento antirretroviral, ingresando a 397 personas con VIH al tratamiento médico y el 80% de ellas ingresaron de manera temprana a su terapia, por lo que se espera mejorar su pronóstico a largo plazo.</w:t>
      </w:r>
    </w:p>
    <w:p w14:paraId="02A71629" w14:textId="77777777" w:rsidR="00A165BB" w:rsidRPr="00A165BB" w:rsidRDefault="00A165BB" w:rsidP="00A165BB">
      <w:pPr>
        <w:spacing w:after="0" w:line="276" w:lineRule="auto"/>
        <w:ind w:left="284"/>
        <w:jc w:val="both"/>
        <w:rPr>
          <w:lang w:val="es-ES"/>
        </w:rPr>
      </w:pPr>
      <w:r w:rsidRPr="00A165BB">
        <w:rPr>
          <w:lang w:val="es-ES"/>
        </w:rPr>
        <w:t xml:space="preserve">Por lo que se refiere a las personas que viven con VIH en tratamiento antirretroviral, más del 90% de ellas lograron mantenerse con carga viral indetectable, es decir, que el VIH se encuentra en cifras extremadamente bajas y con ello, logrando la no transmisión a sus parejas sexuales, además de la nula inflamación orgánica y la disminución sustancial de hospitalizaciones por enfermedades relacionadas al SIDA. </w:t>
      </w:r>
    </w:p>
    <w:p w14:paraId="17118085" w14:textId="0A284314" w:rsidR="00A165BB" w:rsidRPr="00A165BB" w:rsidRDefault="00A165BB" w:rsidP="00A165BB">
      <w:pPr>
        <w:spacing w:after="0" w:line="276" w:lineRule="auto"/>
        <w:ind w:left="284"/>
        <w:jc w:val="both"/>
        <w:rPr>
          <w:lang w:val="es-ES"/>
        </w:rPr>
      </w:pPr>
      <w:r w:rsidRPr="00A165BB">
        <w:rPr>
          <w:lang w:val="es-ES"/>
        </w:rPr>
        <w:t>Durante el ejercicio 2021</w:t>
      </w:r>
      <w:r w:rsidR="0008479E">
        <w:rPr>
          <w:lang w:val="es-ES"/>
        </w:rPr>
        <w:t>,</w:t>
      </w:r>
      <w:r w:rsidRPr="00A165BB">
        <w:rPr>
          <w:lang w:val="es-ES"/>
        </w:rPr>
        <w:t xml:space="preserve"> se logró capacitar al personal operativo de las UNEMES, las CAPASITS y los SAIH de nuestro estado, en referente al modelo de </w:t>
      </w:r>
      <w:proofErr w:type="spellStart"/>
      <w:r w:rsidRPr="00A165BB">
        <w:rPr>
          <w:lang w:val="es-ES"/>
        </w:rPr>
        <w:t>PrEP</w:t>
      </w:r>
      <w:proofErr w:type="spellEnd"/>
      <w:r w:rsidRPr="00A165BB">
        <w:rPr>
          <w:lang w:val="es-ES"/>
        </w:rPr>
        <w:t xml:space="preserve"> (profilaxis preexposición), con el cual se busca implementar en Sinaloa y en un futuro cercano y así poder brindar cobertura a las personas de mayor riesgo de presentar infección por VIH. </w:t>
      </w:r>
    </w:p>
    <w:p w14:paraId="25100AE1" w14:textId="157C3C18" w:rsidR="00BB6D7C" w:rsidRPr="006505C2" w:rsidRDefault="00A165BB" w:rsidP="00A165BB">
      <w:pPr>
        <w:spacing w:after="0" w:line="276" w:lineRule="auto"/>
        <w:ind w:left="284"/>
        <w:jc w:val="both"/>
        <w:rPr>
          <w:lang w:val="es-ES"/>
        </w:rPr>
      </w:pPr>
      <w:r w:rsidRPr="00A165BB">
        <w:rPr>
          <w:lang w:val="es-ES"/>
        </w:rPr>
        <w:t>Las UNEMES, las CAPASITS y los SAIH dependientes del programa se han convertido no solo en unidades de tratamiento, sino también en unidades preventivas y de diagnóstico.</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77777777"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1CB4B8C9" w14:textId="04B24119" w:rsidR="00A165BB" w:rsidRDefault="00A165BB" w:rsidP="00A165BB">
      <w:pPr>
        <w:pStyle w:val="Prrafodelista"/>
        <w:numPr>
          <w:ilvl w:val="0"/>
          <w:numId w:val="2"/>
        </w:numPr>
        <w:spacing w:after="0" w:line="276" w:lineRule="auto"/>
        <w:ind w:left="567" w:hanging="283"/>
        <w:jc w:val="both"/>
      </w:pPr>
      <w:r>
        <w:t>Fortalecimiento en los conocimientos, las aptitudes y actitudes del personal de salud.</w:t>
      </w:r>
    </w:p>
    <w:p w14:paraId="5C21BB34" w14:textId="5DF61AB4" w:rsidR="00A165BB" w:rsidRDefault="00A165BB" w:rsidP="00A165BB">
      <w:pPr>
        <w:pStyle w:val="Prrafodelista"/>
        <w:numPr>
          <w:ilvl w:val="0"/>
          <w:numId w:val="2"/>
        </w:numPr>
        <w:spacing w:after="0" w:line="276" w:lineRule="auto"/>
        <w:ind w:left="567" w:hanging="283"/>
        <w:jc w:val="both"/>
      </w:pPr>
      <w:r>
        <w:t>Incitar la participación de la población general en mejorar la atención del autocuidado e implementar las estrategias de prevención para la erradicación del VIH, a través de la promoción del uso de los diferentes métodos de prevención del VIH, en base a las necesidades de las personas.</w:t>
      </w:r>
    </w:p>
    <w:p w14:paraId="08AD12EB" w14:textId="77777777" w:rsidR="00A165BB" w:rsidRDefault="00A165BB" w:rsidP="00A165BB">
      <w:pPr>
        <w:pStyle w:val="Prrafodelista"/>
        <w:numPr>
          <w:ilvl w:val="0"/>
          <w:numId w:val="2"/>
        </w:numPr>
        <w:spacing w:after="0" w:line="276" w:lineRule="auto"/>
        <w:ind w:left="567" w:hanging="283"/>
        <w:jc w:val="both"/>
      </w:pPr>
      <w:r>
        <w:t>Difundir información para dar a conocer la implementación de la PrEP, como una estrategia de prevención combinada que incluye otros métodos de prevención disponibles y generar información pertinente para las poblaciones clave sobre la prevención.</w:t>
      </w:r>
    </w:p>
    <w:p w14:paraId="6875A774" w14:textId="77777777" w:rsidR="000D2A1A" w:rsidRDefault="000D2A1A" w:rsidP="00A165BB">
      <w:pPr>
        <w:spacing w:after="0" w:line="276" w:lineRule="auto"/>
        <w:rPr>
          <w:b/>
          <w:bCs/>
          <w:color w:val="FFFFFF" w:themeColor="background1"/>
        </w:rPr>
      </w:pPr>
    </w:p>
    <w:p w14:paraId="5805167A" w14:textId="40506D15" w:rsidR="00A165BB" w:rsidRPr="00A165BB" w:rsidRDefault="00A165BB" w:rsidP="00A165BB">
      <w:pPr>
        <w:spacing w:after="0" w:line="276" w:lineRule="auto"/>
        <w:rPr>
          <w:b/>
          <w:bCs/>
          <w:color w:val="FFFFFF" w:themeColor="background1"/>
        </w:rPr>
        <w:sectPr w:rsidR="00A165BB" w:rsidRPr="00A165BB" w:rsidSect="006047A9">
          <w:pgSz w:w="12240" w:h="15840"/>
          <w:pgMar w:top="1418" w:right="902" w:bottom="1134" w:left="1418" w:header="567" w:footer="264" w:gutter="0"/>
          <w:cols w:space="708"/>
          <w:titlePg/>
          <w:docGrid w:linePitch="360"/>
        </w:sectPr>
      </w:pPr>
    </w:p>
    <w:tbl>
      <w:tblPr>
        <w:tblStyle w:val="Tablaconcuadrcula"/>
        <w:tblW w:w="0" w:type="auto"/>
        <w:tblLook w:val="04A0" w:firstRow="1" w:lastRow="0" w:firstColumn="1" w:lastColumn="0" w:noHBand="0" w:noVBand="1"/>
      </w:tblPr>
      <w:tblGrid>
        <w:gridCol w:w="9910"/>
      </w:tblGrid>
      <w:tr w:rsidR="00BB6D7C" w14:paraId="5BAA9691" w14:textId="77777777" w:rsidTr="00090637">
        <w:trPr>
          <w:trHeight w:val="340"/>
        </w:trPr>
        <w:tc>
          <w:tcPr>
            <w:tcW w:w="9910" w:type="dxa"/>
            <w:tcBorders>
              <w:top w:val="nil"/>
              <w:left w:val="nil"/>
              <w:bottom w:val="nil"/>
              <w:right w:val="nil"/>
            </w:tcBorders>
            <w:shd w:val="clear" w:color="auto" w:fill="651D32"/>
            <w:vAlign w:val="center"/>
          </w:tcPr>
          <w:p w14:paraId="563C2029" w14:textId="77777777" w:rsidR="00BB6D7C" w:rsidRDefault="00BB6D7C" w:rsidP="006F4B1F">
            <w:pPr>
              <w:pStyle w:val="Prrafodelista"/>
              <w:numPr>
                <w:ilvl w:val="0"/>
                <w:numId w:val="4"/>
              </w:numPr>
              <w:spacing w:after="0" w:line="276" w:lineRule="auto"/>
            </w:pPr>
            <w:r w:rsidRPr="00BB6D7C">
              <w:rPr>
                <w:b/>
                <w:bCs/>
                <w:color w:val="FFFFFF" w:themeColor="background1"/>
              </w:rPr>
              <w:lastRenderedPageBreak/>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133709"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7777777" w:rsidR="006C747D" w:rsidRPr="00133709" w:rsidRDefault="00133709" w:rsidP="00521401">
            <w:pPr>
              <w:spacing w:after="0" w:line="276" w:lineRule="auto"/>
              <w:ind w:left="179"/>
            </w:pPr>
            <w:r>
              <w:t>Jorge Alfredo Gameros Rojas</w:t>
            </w:r>
          </w:p>
        </w:tc>
      </w:tr>
      <w:tr w:rsidR="006C747D"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C747D" w:rsidRPr="006C747D" w:rsidRDefault="006C747D" w:rsidP="006F4B1F">
            <w:pPr>
              <w:pStyle w:val="Prrafodelista"/>
              <w:numPr>
                <w:ilvl w:val="1"/>
                <w:numId w:val="12"/>
              </w:numPr>
              <w:spacing w:after="0" w:line="276" w:lineRule="auto"/>
              <w:ind w:left="604"/>
              <w:rPr>
                <w:b/>
                <w:bCs/>
              </w:rPr>
            </w:pPr>
            <w:r w:rsidRPr="006C747D">
              <w:rPr>
                <w:b/>
                <w:bCs/>
              </w:rPr>
              <w:t>Cargo:</w:t>
            </w:r>
          </w:p>
        </w:tc>
      </w:tr>
      <w:tr w:rsidR="00133709"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C747D" w:rsidRPr="00133709" w:rsidRDefault="00133709" w:rsidP="00521401">
            <w:pPr>
              <w:spacing w:after="0" w:line="276" w:lineRule="auto"/>
              <w:ind w:left="179"/>
            </w:pPr>
            <w:r>
              <w:t>Director de Evaluación</w:t>
            </w:r>
          </w:p>
        </w:tc>
      </w:tr>
      <w:tr w:rsidR="006C747D"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C747D" w:rsidRPr="006C747D" w:rsidRDefault="006C747D" w:rsidP="006F4B1F">
            <w:pPr>
              <w:pStyle w:val="Prrafodelista"/>
              <w:numPr>
                <w:ilvl w:val="1"/>
                <w:numId w:val="12"/>
              </w:numPr>
              <w:spacing w:after="0" w:line="276" w:lineRule="auto"/>
              <w:ind w:left="604"/>
              <w:rPr>
                <w:b/>
                <w:bCs/>
              </w:rPr>
            </w:pPr>
            <w:r w:rsidRPr="006C747D">
              <w:rPr>
                <w:b/>
                <w:bCs/>
              </w:rPr>
              <w:t>Institución a la que Pertenece:</w:t>
            </w:r>
          </w:p>
        </w:tc>
      </w:tr>
      <w:tr w:rsidR="006C747D"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C747D" w:rsidRPr="00133709" w:rsidRDefault="00133709" w:rsidP="00521401">
            <w:pPr>
              <w:spacing w:after="0" w:line="276" w:lineRule="auto"/>
              <w:ind w:left="179"/>
            </w:pPr>
            <w:r>
              <w:t>Gobierno del Estado de Sinaloa</w:t>
            </w:r>
          </w:p>
        </w:tc>
      </w:tr>
      <w:tr w:rsidR="006C747D"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C747D" w:rsidRPr="006C747D" w:rsidRDefault="006C747D" w:rsidP="006F4B1F">
            <w:pPr>
              <w:pStyle w:val="Prrafodelista"/>
              <w:numPr>
                <w:ilvl w:val="1"/>
                <w:numId w:val="12"/>
              </w:numPr>
              <w:spacing w:after="0" w:line="276" w:lineRule="auto"/>
              <w:ind w:left="604"/>
              <w:rPr>
                <w:b/>
                <w:bCs/>
              </w:rPr>
            </w:pPr>
            <w:r w:rsidRPr="006C747D">
              <w:rPr>
                <w:b/>
                <w:bCs/>
              </w:rPr>
              <w:t>Principales Colaboradores:</w:t>
            </w:r>
          </w:p>
        </w:tc>
      </w:tr>
      <w:tr w:rsidR="006C747D"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C747D" w:rsidRPr="00133709" w:rsidRDefault="00133709" w:rsidP="00521401">
            <w:pPr>
              <w:spacing w:after="0" w:line="276" w:lineRule="auto"/>
              <w:ind w:left="179"/>
            </w:pPr>
            <w:r>
              <w:t>Brenda Paola Torres González</w:t>
            </w:r>
          </w:p>
        </w:tc>
      </w:tr>
      <w:tr w:rsidR="006C747D"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C747D" w:rsidRPr="006C747D" w:rsidRDefault="006C747D" w:rsidP="006F4B1F">
            <w:pPr>
              <w:pStyle w:val="Prrafodelista"/>
              <w:numPr>
                <w:ilvl w:val="1"/>
                <w:numId w:val="12"/>
              </w:numPr>
              <w:spacing w:after="0" w:line="276" w:lineRule="auto"/>
              <w:ind w:left="604"/>
              <w:rPr>
                <w:b/>
                <w:bCs/>
              </w:rPr>
            </w:pPr>
            <w:r w:rsidRPr="006C747D">
              <w:rPr>
                <w:b/>
                <w:bCs/>
              </w:rPr>
              <w:t>Correo Electrónico del Coordinador de la Evaluación:</w:t>
            </w:r>
          </w:p>
        </w:tc>
      </w:tr>
      <w:tr w:rsidR="006C747D"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77777777" w:rsidR="006C747D" w:rsidRPr="00133709" w:rsidRDefault="00133709" w:rsidP="00521401">
            <w:pPr>
              <w:spacing w:after="0" w:line="276" w:lineRule="auto"/>
              <w:ind w:left="179"/>
            </w:pPr>
            <w:r>
              <w:t>jorge.gameros@sinaloa.gob.mx</w:t>
            </w:r>
          </w:p>
        </w:tc>
      </w:tr>
      <w:tr w:rsidR="006C747D"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C747D" w:rsidRPr="006C747D" w:rsidRDefault="006C747D" w:rsidP="006F4B1F">
            <w:pPr>
              <w:pStyle w:val="Prrafodelista"/>
              <w:numPr>
                <w:ilvl w:val="1"/>
                <w:numId w:val="12"/>
              </w:numPr>
              <w:spacing w:after="0" w:line="276" w:lineRule="auto"/>
              <w:ind w:left="604"/>
              <w:rPr>
                <w:b/>
                <w:bCs/>
              </w:rPr>
            </w:pPr>
            <w:r w:rsidRPr="006C747D">
              <w:rPr>
                <w:b/>
                <w:bCs/>
              </w:rPr>
              <w:t>Teléfono:</w:t>
            </w:r>
          </w:p>
        </w:tc>
      </w:tr>
      <w:tr w:rsidR="006C747D"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C747D" w:rsidRPr="00133709" w:rsidRDefault="006C747D" w:rsidP="00521401">
            <w:pPr>
              <w:spacing w:after="0" w:line="276" w:lineRule="auto"/>
              <w:ind w:left="179"/>
            </w:pPr>
            <w:r w:rsidRPr="007301C5">
              <w:t>(667)</w:t>
            </w:r>
            <w:r w:rsidR="00133709">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14:paraId="449405D2" w14:textId="77777777" w:rsidTr="00090637">
        <w:trPr>
          <w:trHeight w:val="340"/>
        </w:trPr>
        <w:tc>
          <w:tcPr>
            <w:tcW w:w="9910" w:type="dxa"/>
            <w:gridSpan w:val="4"/>
            <w:shd w:val="clear" w:color="auto" w:fill="651D32"/>
            <w:vAlign w:val="center"/>
          </w:tcPr>
          <w:p w14:paraId="57932F8D" w14:textId="77777777" w:rsidR="007C4CD6" w:rsidRDefault="007C4CD6" w:rsidP="006F4B1F">
            <w:pPr>
              <w:pStyle w:val="Prrafodelista"/>
              <w:numPr>
                <w:ilvl w:val="0"/>
                <w:numId w:val="4"/>
              </w:numPr>
              <w:spacing w:after="0" w:line="276" w:lineRule="auto"/>
            </w:pPr>
            <w:r w:rsidRPr="00BA4A59">
              <w:rPr>
                <w:rFonts w:eastAsia="Times New Roman"/>
                <w:b/>
                <w:color w:val="FFFFFF"/>
                <w:lang w:eastAsia="es-MX"/>
              </w:rPr>
              <w:t>Identificación del (os) Programa(</w:t>
            </w:r>
            <w:r>
              <w:rPr>
                <w:rFonts w:eastAsia="Times New Roman"/>
                <w:b/>
                <w:color w:val="FFFFFF"/>
                <w:lang w:eastAsia="es-MX"/>
              </w:rPr>
              <w:t>s</w:t>
            </w:r>
            <w:r w:rsidRPr="00BA4A59">
              <w:rPr>
                <w:rFonts w:eastAsia="Times New Roman"/>
                <w:b/>
                <w:color w:val="FFFFFF"/>
                <w:lang w:eastAsia="es-MX"/>
              </w:rPr>
              <w:t>)</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69BE8B01" w:rsidR="007C4CD6" w:rsidRPr="00521401" w:rsidRDefault="00A165BB" w:rsidP="00521401">
            <w:pPr>
              <w:spacing w:after="0" w:line="276" w:lineRule="auto"/>
              <w:ind w:left="179"/>
            </w:pPr>
            <w:r w:rsidRPr="007B0196">
              <w:rPr>
                <w:rFonts w:eastAsia="Times New Roman"/>
                <w:color w:val="000000"/>
                <w:lang w:eastAsia="es-MX"/>
              </w:rPr>
              <w:t>Prevención y Control del VIH/SIDA e ITS</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08479E">
        <w:trPr>
          <w:trHeight w:val="340"/>
        </w:trPr>
        <w:tc>
          <w:tcPr>
            <w:tcW w:w="9910" w:type="dxa"/>
            <w:gridSpan w:val="4"/>
            <w:shd w:val="clear" w:color="auto" w:fill="auto"/>
            <w:vAlign w:val="center"/>
          </w:tcPr>
          <w:p w14:paraId="0850CE8D" w14:textId="221B7F2D" w:rsidR="007C4CD6" w:rsidRPr="007C4CD6" w:rsidRDefault="00831AF9" w:rsidP="00521401">
            <w:pPr>
              <w:spacing w:after="0" w:line="276" w:lineRule="auto"/>
              <w:ind w:left="179"/>
            </w:pPr>
            <w:r>
              <w:t>VIH/ITS</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3E1F4568" w:rsidR="007C4CD6" w:rsidRPr="007C4CD6" w:rsidRDefault="00A165BB" w:rsidP="00521401">
            <w:pPr>
              <w:spacing w:after="0" w:line="276" w:lineRule="auto"/>
              <w:ind w:left="179"/>
            </w:pPr>
            <w:r w:rsidRPr="007B0196">
              <w:rPr>
                <w:rFonts w:eastAsia="Times New Roman"/>
                <w:bCs/>
                <w:color w:val="000000"/>
                <w:lang w:eastAsia="es-MX"/>
              </w:rPr>
              <w:t>Dirección de Prevención y Promoción de la Salud</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08479E">
        <w:trPr>
          <w:trHeight w:val="340"/>
        </w:trPr>
        <w:tc>
          <w:tcPr>
            <w:tcW w:w="2405" w:type="dxa"/>
            <w:shd w:val="clear" w:color="auto" w:fill="auto"/>
            <w:vAlign w:val="center"/>
          </w:tcPr>
          <w:p w14:paraId="43D369B0" w14:textId="34B78F98" w:rsidR="005A28B9" w:rsidRPr="00A16BE7" w:rsidRDefault="005A28B9" w:rsidP="00090637">
            <w:pPr>
              <w:spacing w:after="0" w:line="276" w:lineRule="auto"/>
              <w:jc w:val="center"/>
            </w:pPr>
          </w:p>
        </w:tc>
        <w:tc>
          <w:tcPr>
            <w:tcW w:w="2410" w:type="dxa"/>
            <w:shd w:val="clear" w:color="auto" w:fill="auto"/>
            <w:vAlign w:val="center"/>
          </w:tcPr>
          <w:p w14:paraId="208A5616" w14:textId="5D330A8A" w:rsidR="005A28B9" w:rsidRPr="00A16BE7" w:rsidRDefault="0008479E" w:rsidP="00090637">
            <w:pPr>
              <w:spacing w:after="0" w:line="276" w:lineRule="auto"/>
              <w:jc w:val="center"/>
            </w:pPr>
            <w:r>
              <w:t>X</w:t>
            </w: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08479E">
        <w:trPr>
          <w:trHeight w:val="340"/>
        </w:trPr>
        <w:tc>
          <w:tcPr>
            <w:tcW w:w="3256" w:type="dxa"/>
            <w:shd w:val="clear" w:color="auto" w:fill="auto"/>
            <w:vAlign w:val="center"/>
          </w:tcPr>
          <w:p w14:paraId="06EEC80E" w14:textId="2F52E1AA" w:rsidR="00090637" w:rsidRPr="00D913D9" w:rsidRDefault="0008479E" w:rsidP="00287214">
            <w:pPr>
              <w:spacing w:after="0" w:line="276" w:lineRule="auto"/>
              <w:jc w:val="center"/>
              <w:rPr>
                <w:bCs/>
              </w:rPr>
            </w:pPr>
            <w:r>
              <w:rPr>
                <w:bCs/>
              </w:rPr>
              <w:t>X</w:t>
            </w:r>
          </w:p>
        </w:tc>
        <w:tc>
          <w:tcPr>
            <w:tcW w:w="3402" w:type="dxa"/>
            <w:shd w:val="clear" w:color="auto" w:fill="auto"/>
            <w:vAlign w:val="center"/>
          </w:tcPr>
          <w:p w14:paraId="117D875F" w14:textId="77777777" w:rsidR="00090637" w:rsidRPr="00090637" w:rsidRDefault="00090637" w:rsidP="00287214">
            <w:pPr>
              <w:spacing w:after="0" w:line="276" w:lineRule="auto"/>
              <w:jc w:val="center"/>
            </w:pP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08479E">
        <w:trPr>
          <w:trHeight w:val="340"/>
        </w:trPr>
        <w:tc>
          <w:tcPr>
            <w:tcW w:w="9910" w:type="dxa"/>
            <w:gridSpan w:val="3"/>
            <w:shd w:val="clear" w:color="auto" w:fill="auto"/>
          </w:tcPr>
          <w:p w14:paraId="7091B8EA" w14:textId="64A27CD8" w:rsidR="005065B9" w:rsidRPr="00521401" w:rsidRDefault="00831AF9" w:rsidP="005065B9">
            <w:pPr>
              <w:spacing w:after="0" w:line="276" w:lineRule="auto"/>
              <w:ind w:left="179"/>
            </w:pPr>
            <w:r>
              <w:t>Juan Manuel García Díaz</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5065B9" w14:paraId="6370D0DF" w14:textId="77777777" w:rsidTr="0008479E">
        <w:trPr>
          <w:trHeight w:val="340"/>
        </w:trPr>
        <w:tc>
          <w:tcPr>
            <w:tcW w:w="9910" w:type="dxa"/>
            <w:gridSpan w:val="3"/>
            <w:shd w:val="clear" w:color="auto" w:fill="auto"/>
          </w:tcPr>
          <w:p w14:paraId="54E4AA94" w14:textId="6DD40A03" w:rsidR="005065B9" w:rsidRPr="007301C5" w:rsidRDefault="00831AF9" w:rsidP="005065B9">
            <w:pPr>
              <w:spacing w:after="0" w:line="276" w:lineRule="auto"/>
              <w:ind w:left="179"/>
            </w:pPr>
            <w:r>
              <w:t>vih@saludsinaloa.gob.mx</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5065B9" w14:paraId="3C5D9DC6" w14:textId="77777777" w:rsidTr="0008479E">
        <w:trPr>
          <w:trHeight w:val="340"/>
        </w:trPr>
        <w:tc>
          <w:tcPr>
            <w:tcW w:w="9910" w:type="dxa"/>
            <w:gridSpan w:val="3"/>
            <w:shd w:val="clear" w:color="auto" w:fill="auto"/>
          </w:tcPr>
          <w:p w14:paraId="138DA773" w14:textId="626E8A01" w:rsidR="005065B9" w:rsidRPr="007301C5" w:rsidRDefault="00831AF9" w:rsidP="005065B9">
            <w:pPr>
              <w:spacing w:after="0" w:line="276" w:lineRule="auto"/>
              <w:ind w:left="179"/>
            </w:pPr>
            <w:r>
              <w:t>Servicios de Salud de Sinaloa</w:t>
            </w:r>
          </w:p>
        </w:tc>
      </w:tr>
      <w:tr w:rsidR="00A753A2"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sidR="00287214">
              <w:rPr>
                <w:rFonts w:eastAsia="Times New Roman"/>
                <w:b/>
                <w:color w:val="000000"/>
                <w:lang w:eastAsia="es-MX"/>
              </w:rPr>
              <w:t xml:space="preserve">clave </w:t>
            </w:r>
            <w:r w:rsidRPr="00A753A2">
              <w:rPr>
                <w:rFonts w:eastAsia="Times New Roman"/>
                <w:b/>
                <w:color w:val="000000"/>
                <w:lang w:eastAsia="es-MX"/>
              </w:rPr>
              <w:t>lada:</w:t>
            </w:r>
          </w:p>
        </w:tc>
      </w:tr>
      <w:tr w:rsidR="005065B9" w14:paraId="49F6EF2F" w14:textId="77777777" w:rsidTr="0008479E">
        <w:trPr>
          <w:trHeight w:val="340"/>
        </w:trPr>
        <w:tc>
          <w:tcPr>
            <w:tcW w:w="9910" w:type="dxa"/>
            <w:gridSpan w:val="3"/>
            <w:shd w:val="clear" w:color="auto" w:fill="auto"/>
          </w:tcPr>
          <w:p w14:paraId="6F19C066" w14:textId="290645CE" w:rsidR="005065B9" w:rsidRPr="007301C5" w:rsidRDefault="005065B9" w:rsidP="005065B9">
            <w:pPr>
              <w:spacing w:after="0" w:line="276" w:lineRule="auto"/>
              <w:ind w:left="179"/>
            </w:pPr>
            <w:r w:rsidRPr="0058649A">
              <w:t xml:space="preserve">(667) </w:t>
            </w:r>
            <w:r w:rsidR="00831AF9">
              <w:t>758 7000 Ext. 40390</w:t>
            </w:r>
          </w:p>
        </w:tc>
      </w:tr>
    </w:tbl>
    <w:p w14:paraId="2142A7BB" w14:textId="77777777" w:rsidR="00090637" w:rsidRDefault="00090637" w:rsidP="00090637">
      <w:pPr>
        <w:spacing w:after="0" w:line="276" w:lineRule="auto"/>
        <w:jc w:val="both"/>
        <w:rPr>
          <w:lang w:val="es-ES"/>
        </w:rPr>
        <w:sectPr w:rsidR="00090637" w:rsidSect="00866990">
          <w:pgSz w:w="12240" w:h="15840"/>
          <w:pgMar w:top="1418" w:right="902" w:bottom="1134" w:left="1418" w:header="567" w:footer="266" w:gutter="0"/>
          <w:cols w:space="708"/>
          <w:titlePg/>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090637" w14:paraId="732B5D37" w14:textId="77777777" w:rsidTr="00C61D21">
        <w:trPr>
          <w:trHeight w:val="340"/>
        </w:trPr>
        <w:tc>
          <w:tcPr>
            <w:tcW w:w="9910" w:type="dxa"/>
            <w:gridSpan w:val="4"/>
            <w:shd w:val="clear" w:color="auto" w:fill="651D32"/>
            <w:vAlign w:val="center"/>
          </w:tcPr>
          <w:p w14:paraId="1529799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lastRenderedPageBreak/>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77777777" w:rsidR="00090637" w:rsidRPr="00866990" w:rsidRDefault="00090637" w:rsidP="00521401">
            <w:pPr>
              <w:spacing w:after="0" w:line="276" w:lineRule="auto"/>
              <w:ind w:left="179"/>
            </w:pP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77777777" w:rsidR="00090637" w:rsidRPr="00866990" w:rsidRDefault="00C61D21" w:rsidP="00521401">
            <w:pPr>
              <w:spacing w:after="0" w:line="276" w:lineRule="auto"/>
              <w:ind w:left="179"/>
            </w:pPr>
            <w:r w:rsidRPr="00866990">
              <w:t>$</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77777777" w:rsidR="004C435E" w:rsidRPr="00866990" w:rsidRDefault="004C435E" w:rsidP="004C435E">
            <w:pPr>
              <w:spacing w:after="0" w:line="276" w:lineRule="auto"/>
              <w:ind w:left="179"/>
            </w:pPr>
          </w:p>
        </w:tc>
      </w:tr>
      <w:tr w:rsidR="00090637" w14:paraId="2A1035F1" w14:textId="77777777" w:rsidTr="00C61D21">
        <w:trPr>
          <w:trHeight w:val="340"/>
        </w:trPr>
        <w:tc>
          <w:tcPr>
            <w:tcW w:w="9910" w:type="dxa"/>
            <w:gridSpan w:val="4"/>
            <w:shd w:val="clear" w:color="auto" w:fill="auto"/>
            <w:vAlign w:val="center"/>
          </w:tcPr>
          <w:p w14:paraId="1A46D2C3" w14:textId="77777777" w:rsidR="004C435E" w:rsidRPr="00866990" w:rsidRDefault="004C435E" w:rsidP="000D2A1A">
            <w:pPr>
              <w:spacing w:after="0" w:line="276" w:lineRule="auto"/>
            </w:pPr>
          </w:p>
        </w:tc>
      </w:tr>
      <w:tr w:rsidR="00090637" w14:paraId="48B7EE0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651D32"/>
            <w:vAlign w:val="center"/>
          </w:tcPr>
          <w:p w14:paraId="4AF233B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w:t>
            </w:r>
            <w:r w:rsidR="007D00B1" w:rsidRPr="00866990">
              <w:rPr>
                <w:b/>
                <w:bCs/>
                <w:color w:val="FFFFFF" w:themeColor="background1"/>
              </w:rPr>
              <w:t>ifusión de la Evaluación</w:t>
            </w:r>
          </w:p>
        </w:tc>
      </w:tr>
      <w:tr w:rsidR="00090637" w:rsidRPr="006C747D" w14:paraId="66E708FB"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090637">
      <w:pPr>
        <w:spacing w:after="0" w:line="276" w:lineRule="auto"/>
        <w:jc w:val="both"/>
        <w:rPr>
          <w:lang w:val="es-ES"/>
        </w:rPr>
      </w:pPr>
      <w:bookmarkStart w:id="0" w:name="_GoBack"/>
      <w:bookmarkEnd w:id="0"/>
    </w:p>
    <w:sectPr w:rsidR="00090637" w:rsidRPr="00AF2993" w:rsidSect="006047A9">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panose1 w:val="000006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18"/>
        <w:szCs w:val="18"/>
      </w:rPr>
      <w:id w:val="-1163232363"/>
      <w:docPartObj>
        <w:docPartGallery w:val="Page Numbers (Bottom of Page)"/>
        <w:docPartUnique/>
      </w:docPartObj>
    </w:sdtPr>
    <w:sdtContent>
      <w:p w14:paraId="2AEE73D2" w14:textId="77777777"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Pr>
            <w:b/>
            <w:bCs/>
            <w:sz w:val="18"/>
            <w:szCs w:val="18"/>
          </w:rPr>
          <w:t>1</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18"/>
        <w:szCs w:val="18"/>
      </w:rPr>
      <w:id w:val="-310406665"/>
      <w:docPartObj>
        <w:docPartGallery w:val="Page Numbers (Bottom of Page)"/>
        <w:docPartUnique/>
      </w:docPartObj>
    </w:sdtPr>
    <w:sdtEndPr/>
    <w:sdtContent>
      <w:p w14:paraId="0E690CD3" w14:textId="77777777"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831AF9" w:rsidRPr="00831AF9">
          <w:rPr>
            <w:b/>
            <w:bCs/>
            <w:noProof/>
            <w:sz w:val="18"/>
            <w:szCs w:val="18"/>
            <w:lang w:val="es-ES"/>
          </w:rPr>
          <w:t>5</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DDD3" w14:textId="77777777" w:rsidR="0008479E" w:rsidRDefault="0008479E" w:rsidP="0008479E">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D386" w14:textId="77777777" w:rsidR="0086126F" w:rsidRDefault="006047A9" w:rsidP="0085511A">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A65C5E">
      <w:rPr>
        <w:rFonts w:ascii="Medium" w:hAnsi="Medium" w:cs="Arial"/>
        <w:b/>
        <w:color w:val="651D32"/>
        <w:sz w:val="26"/>
        <w:szCs w:val="26"/>
      </w:rPr>
      <w:t>Formato para la Difusión de los Resultados de la Evaluaci</w:t>
    </w:r>
    <w:r w:rsidR="002272AA" w:rsidRPr="00A65C5E">
      <w:rPr>
        <w:rFonts w:ascii="Medium" w:hAnsi="Medium" w:cs="Arial"/>
        <w:b/>
        <w:color w:val="651D32"/>
        <w:sz w:val="26"/>
        <w:szCs w:val="26"/>
      </w:rPr>
      <w:t xml:space="preserve">ón del </w:t>
    </w:r>
    <w:r w:rsidR="00A65C5E">
      <w:rPr>
        <w:rFonts w:ascii="Medium" w:hAnsi="Medium" w:cs="Arial"/>
        <w:b/>
        <w:color w:val="651D32"/>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00CA9"/>
    <w:multiLevelType w:val="multilevel"/>
    <w:tmpl w:val="080A001F"/>
    <w:numStyleLink w:val="Estilo1"/>
  </w:abstractNum>
  <w:abstractNum w:abstractNumId="1"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3"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9"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0"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10"/>
  </w:num>
  <w:num w:numId="2">
    <w:abstractNumId w:val="8"/>
  </w:num>
  <w:num w:numId="3">
    <w:abstractNumId w:val="2"/>
  </w:num>
  <w:num w:numId="4">
    <w:abstractNumId w:val="6"/>
  </w:num>
  <w:num w:numId="5">
    <w:abstractNumId w:val="0"/>
  </w:num>
  <w:num w:numId="6">
    <w:abstractNumId w:val="13"/>
  </w:num>
  <w:num w:numId="7">
    <w:abstractNumId w:val="14"/>
  </w:num>
  <w:num w:numId="8">
    <w:abstractNumId w:val="15"/>
  </w:num>
  <w:num w:numId="9">
    <w:abstractNumId w:val="7"/>
  </w:num>
  <w:num w:numId="10">
    <w:abstractNumId w:val="3"/>
  </w:num>
  <w:num w:numId="11">
    <w:abstractNumId w:val="4"/>
  </w:num>
  <w:num w:numId="12">
    <w:abstractNumId w:val="12"/>
  </w:num>
  <w:num w:numId="13">
    <w:abstractNumId w:val="11"/>
  </w:num>
  <w:num w:numId="14">
    <w:abstractNumId w:val="9"/>
  </w:num>
  <w:num w:numId="15">
    <w:abstractNumId w:val="5"/>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BC"/>
    <w:rsid w:val="00003D1B"/>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419F"/>
    <w:rsid w:val="00121D44"/>
    <w:rsid w:val="00131E38"/>
    <w:rsid w:val="00133709"/>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D1AFC"/>
    <w:rsid w:val="002D3EA7"/>
    <w:rsid w:val="002D457E"/>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DBF"/>
    <w:rsid w:val="00351B94"/>
    <w:rsid w:val="003671EF"/>
    <w:rsid w:val="00375FD1"/>
    <w:rsid w:val="003800F3"/>
    <w:rsid w:val="003867E1"/>
    <w:rsid w:val="003917C6"/>
    <w:rsid w:val="003954C6"/>
    <w:rsid w:val="003964B5"/>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C10D1"/>
    <w:rsid w:val="004C1175"/>
    <w:rsid w:val="004C1F58"/>
    <w:rsid w:val="004C36DB"/>
    <w:rsid w:val="004C435E"/>
    <w:rsid w:val="004D131A"/>
    <w:rsid w:val="004D31EC"/>
    <w:rsid w:val="004E2AE5"/>
    <w:rsid w:val="004E5966"/>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33CC"/>
    <w:rsid w:val="005F575E"/>
    <w:rsid w:val="006005B6"/>
    <w:rsid w:val="00601986"/>
    <w:rsid w:val="006021CF"/>
    <w:rsid w:val="00602B50"/>
    <w:rsid w:val="00603771"/>
    <w:rsid w:val="006047A9"/>
    <w:rsid w:val="00607334"/>
    <w:rsid w:val="006123C0"/>
    <w:rsid w:val="0062578D"/>
    <w:rsid w:val="00630891"/>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7E0D"/>
    <w:rsid w:val="006F3A57"/>
    <w:rsid w:val="006F4B1F"/>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41F8"/>
    <w:rsid w:val="007610AB"/>
    <w:rsid w:val="00782C22"/>
    <w:rsid w:val="00784BFB"/>
    <w:rsid w:val="007862E9"/>
    <w:rsid w:val="00790C50"/>
    <w:rsid w:val="007967D9"/>
    <w:rsid w:val="007A0C17"/>
    <w:rsid w:val="007A0D4E"/>
    <w:rsid w:val="007A73AA"/>
    <w:rsid w:val="007A782D"/>
    <w:rsid w:val="007B4768"/>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50021"/>
    <w:rsid w:val="0096110F"/>
    <w:rsid w:val="009768FB"/>
    <w:rsid w:val="0098143F"/>
    <w:rsid w:val="00983315"/>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D0ADD"/>
    <w:rsid w:val="00AE0BD1"/>
    <w:rsid w:val="00AE4E69"/>
    <w:rsid w:val="00AE5C01"/>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7FBE"/>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1C9C"/>
    <w:rsid w:val="00BF1F13"/>
    <w:rsid w:val="00BF25EA"/>
    <w:rsid w:val="00BF698D"/>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B345E"/>
    <w:rsid w:val="00EB4CD4"/>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286D1-0362-4762-BD04-B875344F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7</TotalTime>
  <Pages>5</Pages>
  <Words>1435</Words>
  <Characters>7895</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Evaluacion</cp:lastModifiedBy>
  <cp:revision>4</cp:revision>
  <cp:lastPrinted>2022-06-17T19:35:00Z</cp:lastPrinted>
  <dcterms:created xsi:type="dcterms:W3CDTF">2022-06-27T19:56:00Z</dcterms:created>
  <dcterms:modified xsi:type="dcterms:W3CDTF">2022-07-05T15:52:00Z</dcterms:modified>
</cp:coreProperties>
</file>